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73" w:rsidRPr="001E7773" w:rsidRDefault="001E7773" w:rsidP="001E7773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E7773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1E7773" w:rsidRPr="001E7773" w:rsidRDefault="001E7773" w:rsidP="001E7773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E7773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1E7773" w:rsidRPr="001E7773" w:rsidRDefault="001E7773" w:rsidP="001E7773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структурное подразделение детский сад № 9</w:t>
      </w:r>
      <w:r w:rsidRPr="001E7773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</w:t>
      </w:r>
    </w:p>
    <w:p w:rsidR="001E7773" w:rsidRPr="001E7773" w:rsidRDefault="001E7773" w:rsidP="001E7773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E7773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446301, Самарская область, г,о. Отрадный, ул. Гайдара, 32,</w:t>
      </w:r>
    </w:p>
    <w:p w:rsidR="001E7773" w:rsidRPr="001E7773" w:rsidRDefault="001E7773" w:rsidP="001E7773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E7773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Те</w:t>
      </w: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лефоны: 8(84661) 2-14-24, </w:t>
      </w:r>
      <w:r w:rsidRPr="001E7773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8 (84661)2-44-96</w:t>
      </w:r>
    </w:p>
    <w:p w:rsidR="001E7773" w:rsidRPr="001E7773" w:rsidRDefault="001E7773" w:rsidP="001E7773">
      <w:pPr>
        <w:spacing w:after="0" w:line="240" w:lineRule="auto"/>
        <w:ind w:left="0" w:right="0" w:firstLine="0"/>
        <w:jc w:val="center"/>
        <w:rPr>
          <w:rFonts w:eastAsia="Calibri"/>
          <w:color w:val="262626"/>
          <w:sz w:val="24"/>
          <w:szCs w:val="24"/>
          <w:shd w:val="clear" w:color="auto" w:fill="FFFFFF"/>
          <w:lang w:eastAsia="en-US"/>
        </w:rPr>
      </w:pPr>
    </w:p>
    <w:p w:rsidR="001E7773" w:rsidRPr="001E7773" w:rsidRDefault="001E7773" w:rsidP="001E7773">
      <w:pPr>
        <w:spacing w:after="32"/>
        <w:ind w:left="0" w:right="154" w:firstLine="0"/>
        <w:jc w:val="center"/>
        <w:rPr>
          <w:b/>
          <w:sz w:val="24"/>
          <w:szCs w:val="24"/>
        </w:rPr>
      </w:pPr>
      <w:r w:rsidRPr="001E7773">
        <w:rPr>
          <w:rFonts w:eastAsia="Calibri"/>
          <w:color w:val="auto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1E7773" w:rsidRPr="001E7773" w:rsidRDefault="001E7773">
      <w:pPr>
        <w:spacing w:after="32"/>
        <w:ind w:left="0" w:right="154" w:firstLine="0"/>
        <w:jc w:val="center"/>
        <w:rPr>
          <w:b/>
          <w:sz w:val="24"/>
          <w:szCs w:val="24"/>
        </w:rPr>
      </w:pPr>
    </w:p>
    <w:p w:rsidR="00285793" w:rsidRDefault="00F634DF">
      <w:pPr>
        <w:spacing w:after="32"/>
        <w:ind w:left="0" w:right="154" w:firstLine="0"/>
        <w:jc w:val="center"/>
      </w:pPr>
      <w:r>
        <w:rPr>
          <w:b/>
        </w:rPr>
        <w:t xml:space="preserve">Аналитическая справка </w:t>
      </w:r>
    </w:p>
    <w:p w:rsidR="001E7773" w:rsidRDefault="00F634DF">
      <w:pPr>
        <w:spacing w:after="0" w:line="282" w:lineRule="auto"/>
        <w:ind w:left="1844" w:right="431" w:hanging="1551"/>
        <w:jc w:val="left"/>
        <w:rPr>
          <w:b/>
        </w:rPr>
      </w:pPr>
      <w:r>
        <w:rPr>
          <w:b/>
        </w:rPr>
        <w:t xml:space="preserve"> по результатам внутренней системы оценки соответствия кадров</w:t>
      </w:r>
      <w:r w:rsidR="001E7773">
        <w:rPr>
          <w:b/>
        </w:rPr>
        <w:t xml:space="preserve">ых условий требованиям ФГОС ДО </w:t>
      </w:r>
      <w:r>
        <w:rPr>
          <w:b/>
        </w:rPr>
        <w:t xml:space="preserve">и ФОП ДО </w:t>
      </w:r>
    </w:p>
    <w:p w:rsidR="00285793" w:rsidRDefault="00F634DF" w:rsidP="001E7773">
      <w:pPr>
        <w:spacing w:after="0" w:line="282" w:lineRule="auto"/>
        <w:ind w:left="1844" w:right="431" w:hanging="1551"/>
        <w:jc w:val="center"/>
      </w:pPr>
      <w:r>
        <w:rPr>
          <w:b/>
        </w:rPr>
        <w:t>в</w:t>
      </w:r>
      <w:bookmarkStart w:id="0" w:name="_GoBack"/>
      <w:bookmarkEnd w:id="0"/>
      <w:r>
        <w:rPr>
          <w:b/>
        </w:rPr>
        <w:t xml:space="preserve"> 2022-2023 учебном году</w:t>
      </w:r>
    </w:p>
    <w:p w:rsidR="00285793" w:rsidRDefault="00F634DF" w:rsidP="00D30B84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85793" w:rsidRDefault="00F634DF" w:rsidP="00D30B84">
      <w:pPr>
        <w:spacing w:after="0" w:line="240" w:lineRule="auto"/>
        <w:ind w:left="-15" w:right="143" w:firstLine="428"/>
        <w:jc w:val="left"/>
      </w:pPr>
      <w:r>
        <w:t>Реализация образовательной программы ДОО обеспечивается руководящими, педагогическими, учебно-</w:t>
      </w:r>
      <w:r>
        <w:t>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</w:t>
      </w:r>
      <w:r>
        <w:t>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учебно-вспомогательн</w:t>
      </w:r>
      <w:r>
        <w:t xml:space="preserve">ыми работниками в течение всего времени ее реализации в ДОО.  </w:t>
      </w:r>
    </w:p>
    <w:p w:rsidR="00285793" w:rsidRDefault="00F634DF" w:rsidP="00D30B84">
      <w:pPr>
        <w:spacing w:after="0" w:line="240" w:lineRule="auto"/>
        <w:ind w:left="-15" w:right="143" w:firstLine="711"/>
        <w:jc w:val="left"/>
      </w:pPr>
      <w:r>
        <w:t xml:space="preserve">Процедура внутренней системы оценки кадровых условий проводилась по состоянию на 27.03.2023 г.  </w:t>
      </w:r>
    </w:p>
    <w:p w:rsidR="00285793" w:rsidRDefault="00F634DF" w:rsidP="00D30B84">
      <w:pPr>
        <w:spacing w:after="0" w:line="240" w:lineRule="auto"/>
        <w:ind w:left="-15" w:right="143" w:firstLine="721"/>
        <w:jc w:val="left"/>
      </w:pPr>
      <w:r>
        <w:t>На основании полученных экспертной группой данных составлена настоящая аналитическая справка о с</w:t>
      </w:r>
      <w:r w:rsidR="001E7773">
        <w:t>оответствие кадровых условий СП ГБОУ ООШ№4 детский сад№9</w:t>
      </w:r>
      <w:r>
        <w:t xml:space="preserve"> требованиям ФГОС ДО и ФОП ДО. Образовательн</w:t>
      </w:r>
      <w:r w:rsidR="001E7773">
        <w:t>ый процесс в ДОО осуществляют 12 педагогов</w:t>
      </w:r>
      <w:r>
        <w:t xml:space="preserve"> из них:  </w:t>
      </w:r>
    </w:p>
    <w:p w:rsidR="00285793" w:rsidRDefault="001E7773" w:rsidP="00D30B84">
      <w:pPr>
        <w:numPr>
          <w:ilvl w:val="0"/>
          <w:numId w:val="1"/>
        </w:numPr>
        <w:spacing w:after="0" w:line="240" w:lineRule="auto"/>
        <w:ind w:right="143" w:hanging="163"/>
        <w:jc w:val="left"/>
      </w:pPr>
      <w:r>
        <w:t>и.о.старшего воспитателя – 1</w:t>
      </w:r>
      <w:r w:rsidR="00F634DF">
        <w:t xml:space="preserve"> чел.;  </w:t>
      </w:r>
    </w:p>
    <w:p w:rsidR="00285793" w:rsidRDefault="001E7773" w:rsidP="00D30B84">
      <w:pPr>
        <w:numPr>
          <w:ilvl w:val="0"/>
          <w:numId w:val="1"/>
        </w:numPr>
        <w:spacing w:after="0" w:line="240" w:lineRule="auto"/>
        <w:ind w:right="143" w:hanging="163"/>
        <w:jc w:val="left"/>
      </w:pPr>
      <w:r>
        <w:t>воспитатели – 8</w:t>
      </w:r>
      <w:r w:rsidR="00F634DF">
        <w:t xml:space="preserve"> чел.;  </w:t>
      </w:r>
    </w:p>
    <w:p w:rsidR="00285793" w:rsidRDefault="001E7773" w:rsidP="00D30B84">
      <w:pPr>
        <w:numPr>
          <w:ilvl w:val="0"/>
          <w:numId w:val="1"/>
        </w:numPr>
        <w:spacing w:after="0" w:line="240" w:lineRule="auto"/>
        <w:ind w:right="143" w:hanging="163"/>
        <w:jc w:val="left"/>
      </w:pPr>
      <w:r>
        <w:t>учитель-логопед – 2</w:t>
      </w:r>
      <w:r w:rsidR="00F634DF">
        <w:t xml:space="preserve"> ч</w:t>
      </w:r>
      <w:r w:rsidR="00F634DF">
        <w:t xml:space="preserve">ел.;  </w:t>
      </w:r>
    </w:p>
    <w:p w:rsidR="00285793" w:rsidRDefault="00F634DF" w:rsidP="00D30B84">
      <w:pPr>
        <w:numPr>
          <w:ilvl w:val="0"/>
          <w:numId w:val="1"/>
        </w:numPr>
        <w:spacing w:after="0" w:line="240" w:lineRule="auto"/>
        <w:ind w:right="143" w:hanging="163"/>
        <w:jc w:val="left"/>
      </w:pPr>
      <w:r>
        <w:t xml:space="preserve">музыкальный руководитель –1 чел.; </w:t>
      </w:r>
    </w:p>
    <w:p w:rsidR="00285793" w:rsidRDefault="00F634DF" w:rsidP="00D30B84">
      <w:pPr>
        <w:numPr>
          <w:ilvl w:val="0"/>
          <w:numId w:val="1"/>
        </w:numPr>
        <w:spacing w:after="0" w:line="240" w:lineRule="auto"/>
        <w:ind w:right="143" w:hanging="163"/>
        <w:jc w:val="left"/>
      </w:pPr>
      <w:r>
        <w:t xml:space="preserve">педагог-психолог –1 чел; </w:t>
      </w:r>
    </w:p>
    <w:p w:rsidR="00285793" w:rsidRDefault="00F634DF" w:rsidP="00D30B84">
      <w:pPr>
        <w:numPr>
          <w:ilvl w:val="0"/>
          <w:numId w:val="1"/>
        </w:numPr>
        <w:spacing w:after="0" w:line="240" w:lineRule="auto"/>
        <w:ind w:right="143" w:hanging="163"/>
        <w:jc w:val="left"/>
      </w:pPr>
      <w:r>
        <w:t xml:space="preserve">инструктор по физической культуре – 1 чел. </w:t>
      </w:r>
      <w:r w:rsidR="001E7773">
        <w:t>(совмещение)</w:t>
      </w:r>
    </w:p>
    <w:p w:rsidR="00285793" w:rsidRDefault="00F634DF" w:rsidP="00D30B84">
      <w:pPr>
        <w:spacing w:after="0" w:line="240" w:lineRule="auto"/>
        <w:ind w:left="-5" w:right="143"/>
        <w:jc w:val="left"/>
      </w:pPr>
      <w:r>
        <w:t xml:space="preserve">Распределение педагогов по возрасту, педагогическому стажу работы, образованию и квалификации представлено в таблице: </w:t>
      </w:r>
    </w:p>
    <w:p w:rsidR="00285793" w:rsidRDefault="00F634DF" w:rsidP="001E7773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554" w:type="dxa"/>
        <w:tblInd w:w="-110" w:type="dxa"/>
        <w:tblCellMar>
          <w:top w:w="45" w:type="dxa"/>
          <w:left w:w="0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3232"/>
        <w:gridCol w:w="6322"/>
      </w:tblGrid>
      <w:tr w:rsidR="00285793">
        <w:trPr>
          <w:trHeight w:val="30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793" w:rsidRDefault="00285793" w:rsidP="001E7773">
            <w:pPr>
              <w:spacing w:after="160"/>
              <w:ind w:left="0" w:right="0" w:firstLine="0"/>
              <w:jc w:val="left"/>
            </w:pPr>
          </w:p>
        </w:tc>
        <w:tc>
          <w:tcPr>
            <w:tcW w:w="6322" w:type="dxa"/>
            <w:tcBorders>
              <w:top w:val="single" w:sz="4" w:space="0" w:color="000000"/>
              <w:left w:val="nil"/>
              <w:bottom w:val="single" w:sz="6" w:space="0" w:color="868686"/>
              <w:right w:val="single" w:sz="4" w:space="0" w:color="000000"/>
            </w:tcBorders>
          </w:tcPr>
          <w:p w:rsidR="00285793" w:rsidRDefault="00F634DF" w:rsidP="001E7773">
            <w:pPr>
              <w:spacing w:after="0"/>
              <w:ind w:left="-5" w:right="0" w:firstLine="0"/>
              <w:jc w:val="left"/>
            </w:pPr>
            <w:r>
              <w:rPr>
                <w:b/>
                <w:sz w:val="24"/>
              </w:rPr>
              <w:t>Характеристика по возрасту</w:t>
            </w:r>
            <w:r>
              <w:rPr>
                <w:sz w:val="24"/>
              </w:rPr>
              <w:t xml:space="preserve"> </w:t>
            </w:r>
          </w:p>
        </w:tc>
      </w:tr>
      <w:tr w:rsidR="001E7773">
        <w:trPr>
          <w:trHeight w:val="30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773" w:rsidRPr="00D30B84" w:rsidRDefault="001E7773" w:rsidP="001E7773">
            <w:pPr>
              <w:spacing w:after="160"/>
              <w:ind w:left="0" w:right="0" w:firstLine="0"/>
              <w:jc w:val="left"/>
            </w:pPr>
          </w:p>
        </w:tc>
        <w:tc>
          <w:tcPr>
            <w:tcW w:w="6322" w:type="dxa"/>
            <w:tcBorders>
              <w:top w:val="single" w:sz="4" w:space="0" w:color="000000"/>
              <w:left w:val="nil"/>
              <w:bottom w:val="single" w:sz="6" w:space="0" w:color="868686"/>
              <w:right w:val="single" w:sz="4" w:space="0" w:color="000000"/>
            </w:tcBorders>
          </w:tcPr>
          <w:p w:rsidR="001E7773" w:rsidRPr="00D30B84" w:rsidRDefault="001E7773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 xml:space="preserve">от 25-29 лет – 1 чел. (8%) </w:t>
            </w:r>
          </w:p>
          <w:p w:rsidR="001E7773" w:rsidRPr="00D30B84" w:rsidRDefault="00DB681C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>от 30-34 лет – 2 чел. (16</w:t>
            </w:r>
            <w:r w:rsidR="001E7773" w:rsidRPr="00D30B84">
              <w:rPr>
                <w:sz w:val="24"/>
              </w:rPr>
              <w:t xml:space="preserve">%) </w:t>
            </w:r>
          </w:p>
          <w:p w:rsidR="001E7773" w:rsidRPr="00D30B84" w:rsidRDefault="00DB681C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>от 35-39 лет – 0 чел. (0</w:t>
            </w:r>
            <w:r w:rsidR="001E7773" w:rsidRPr="00D30B84">
              <w:rPr>
                <w:sz w:val="24"/>
              </w:rPr>
              <w:t xml:space="preserve">%) </w:t>
            </w:r>
          </w:p>
          <w:p w:rsidR="001E7773" w:rsidRPr="00D30B84" w:rsidRDefault="00DB681C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>от 40-44 лет – 0 чел. (0</w:t>
            </w:r>
            <w:r w:rsidR="001E7773" w:rsidRPr="00D30B84">
              <w:rPr>
                <w:sz w:val="24"/>
              </w:rPr>
              <w:t xml:space="preserve">%) </w:t>
            </w:r>
          </w:p>
          <w:p w:rsidR="001E7773" w:rsidRPr="00D30B84" w:rsidRDefault="00DB681C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lastRenderedPageBreak/>
              <w:t>от 45-49 лет –3  чел. (24</w:t>
            </w:r>
            <w:r w:rsidR="001E7773" w:rsidRPr="00D30B84">
              <w:rPr>
                <w:sz w:val="24"/>
              </w:rPr>
              <w:t xml:space="preserve">%) </w:t>
            </w:r>
          </w:p>
          <w:p w:rsidR="001E7773" w:rsidRPr="00D30B84" w:rsidRDefault="00DB681C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>от 50-54 лет – 1 чел. (8</w:t>
            </w:r>
            <w:r w:rsidR="001E7773" w:rsidRPr="00D30B84">
              <w:rPr>
                <w:sz w:val="24"/>
              </w:rPr>
              <w:t xml:space="preserve">%) </w:t>
            </w:r>
          </w:p>
          <w:p w:rsidR="001E7773" w:rsidRPr="00D30B84" w:rsidRDefault="00DB681C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>от 55-59 лет – 4 чел. (32</w:t>
            </w:r>
            <w:r w:rsidR="001E7773" w:rsidRPr="00D30B84">
              <w:rPr>
                <w:sz w:val="24"/>
              </w:rPr>
              <w:t xml:space="preserve">%) </w:t>
            </w:r>
          </w:p>
          <w:p w:rsidR="001E7773" w:rsidRPr="00D30B84" w:rsidRDefault="001E7773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 xml:space="preserve">от 60-64 лет – 0 чел. (0%) </w:t>
            </w:r>
          </w:p>
          <w:p w:rsidR="001E7773" w:rsidRPr="00D30B84" w:rsidRDefault="00DB681C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  <w:r w:rsidRPr="00D30B84">
              <w:rPr>
                <w:sz w:val="24"/>
              </w:rPr>
              <w:t>от 65 и более – 1 чел. (8</w:t>
            </w:r>
            <w:r w:rsidR="001E7773" w:rsidRPr="00D30B84">
              <w:rPr>
                <w:sz w:val="24"/>
              </w:rPr>
              <w:t xml:space="preserve">%) </w:t>
            </w:r>
          </w:p>
          <w:p w:rsidR="001E7773" w:rsidRPr="00D30B84" w:rsidRDefault="001E7773" w:rsidP="001E7773">
            <w:pPr>
              <w:spacing w:after="0"/>
              <w:ind w:left="-5" w:right="0" w:firstLine="0"/>
              <w:jc w:val="left"/>
              <w:rPr>
                <w:sz w:val="24"/>
              </w:rPr>
            </w:pPr>
          </w:p>
        </w:tc>
      </w:tr>
      <w:tr w:rsidR="00285793">
        <w:trPr>
          <w:trHeight w:val="306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868686"/>
              <w:right w:val="single" w:sz="4" w:space="0" w:color="000000"/>
            </w:tcBorders>
          </w:tcPr>
          <w:p w:rsidR="00285793" w:rsidRDefault="00F634DF" w:rsidP="00DB681C">
            <w:pPr>
              <w:spacing w:after="0"/>
              <w:ind w:left="0" w:right="60" w:firstLine="0"/>
              <w:jc w:val="center"/>
            </w:pPr>
            <w:r>
              <w:rPr>
                <w:b/>
                <w:sz w:val="24"/>
              </w:rPr>
              <w:lastRenderedPageBreak/>
              <w:t>Характеристика по педагогическому стажу</w:t>
            </w:r>
          </w:p>
        </w:tc>
      </w:tr>
      <w:tr w:rsidR="00DB681C">
        <w:trPr>
          <w:trHeight w:val="306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868686"/>
              <w:right w:val="single" w:sz="4" w:space="0" w:color="000000"/>
            </w:tcBorders>
          </w:tcPr>
          <w:p w:rsidR="00DB681C" w:rsidRPr="00D30B84" w:rsidRDefault="00DB681C" w:rsidP="00DB681C">
            <w:pPr>
              <w:spacing w:after="0"/>
              <w:ind w:left="0" w:right="60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>До 5 лет - 2 (52%)</w:t>
            </w:r>
          </w:p>
          <w:p w:rsidR="00DB681C" w:rsidRPr="00D30B84" w:rsidRDefault="00DB681C" w:rsidP="00DB681C">
            <w:pPr>
              <w:spacing w:after="0"/>
              <w:ind w:left="0" w:right="60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>5-10 лет – 1 чел. (9%)</w:t>
            </w:r>
          </w:p>
          <w:p w:rsidR="00DB681C" w:rsidRPr="00D30B84" w:rsidRDefault="00DB681C" w:rsidP="00DB681C">
            <w:pPr>
              <w:spacing w:after="0"/>
              <w:ind w:left="0" w:right="60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>10-15 лет – 2 чел. (9%)</w:t>
            </w:r>
          </w:p>
          <w:p w:rsidR="00DB681C" w:rsidRPr="00D30B84" w:rsidRDefault="00DB681C" w:rsidP="00DB681C">
            <w:pPr>
              <w:spacing w:after="0"/>
              <w:ind w:left="0" w:right="60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>15-20 лет- 2 чел. (9%)</w:t>
            </w:r>
          </w:p>
          <w:p w:rsidR="00DB681C" w:rsidRDefault="00DB681C" w:rsidP="00DB681C">
            <w:pPr>
              <w:spacing w:after="0"/>
              <w:ind w:left="0" w:right="60" w:firstLine="0"/>
              <w:jc w:val="center"/>
              <w:rPr>
                <w:b/>
                <w:sz w:val="24"/>
              </w:rPr>
            </w:pPr>
            <w:r w:rsidRPr="00D30B84">
              <w:rPr>
                <w:sz w:val="24"/>
              </w:rPr>
              <w:t>20 лет и более – 5 чел.  (21%)</w:t>
            </w:r>
          </w:p>
        </w:tc>
      </w:tr>
      <w:tr w:rsidR="00285793">
        <w:trPr>
          <w:trHeight w:val="297"/>
        </w:trPr>
        <w:tc>
          <w:tcPr>
            <w:tcW w:w="9554" w:type="dxa"/>
            <w:gridSpan w:val="2"/>
            <w:tcBorders>
              <w:top w:val="single" w:sz="6" w:space="0" w:color="86868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93" w:rsidRDefault="00F634DF" w:rsidP="00DB681C">
            <w:pPr>
              <w:spacing w:after="0"/>
              <w:ind w:left="0" w:right="47" w:firstLine="0"/>
              <w:jc w:val="center"/>
            </w:pPr>
            <w:r>
              <w:rPr>
                <w:b/>
                <w:sz w:val="24"/>
              </w:rPr>
              <w:t>Характеристика по образованию</w:t>
            </w:r>
          </w:p>
        </w:tc>
      </w:tr>
      <w:tr w:rsidR="00DB681C">
        <w:trPr>
          <w:trHeight w:val="297"/>
        </w:trPr>
        <w:tc>
          <w:tcPr>
            <w:tcW w:w="9554" w:type="dxa"/>
            <w:gridSpan w:val="2"/>
            <w:tcBorders>
              <w:top w:val="single" w:sz="6" w:space="0" w:color="86868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1C" w:rsidRPr="00D30B84" w:rsidRDefault="00DB681C" w:rsidP="00DB681C">
            <w:pPr>
              <w:spacing w:after="0"/>
              <w:ind w:left="0" w:right="47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 xml:space="preserve">Высшее профессиональное 5 чел. - (44%) </w:t>
            </w:r>
          </w:p>
          <w:p w:rsidR="00DB681C" w:rsidRPr="00D30B84" w:rsidRDefault="00DB681C" w:rsidP="00DB681C">
            <w:pPr>
              <w:spacing w:after="0"/>
              <w:ind w:left="0" w:right="47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>Среднее профессиональное  12 чел. – 7 (56%)</w:t>
            </w:r>
          </w:p>
        </w:tc>
      </w:tr>
      <w:tr w:rsidR="00285793">
        <w:trPr>
          <w:trHeight w:val="298"/>
        </w:trPr>
        <w:tc>
          <w:tcPr>
            <w:tcW w:w="9554" w:type="dxa"/>
            <w:gridSpan w:val="2"/>
            <w:tcBorders>
              <w:top w:val="single" w:sz="6" w:space="0" w:color="868686"/>
              <w:left w:val="single" w:sz="4" w:space="0" w:color="000000"/>
              <w:bottom w:val="single" w:sz="6" w:space="0" w:color="868686"/>
              <w:right w:val="single" w:sz="4" w:space="0" w:color="000000"/>
            </w:tcBorders>
          </w:tcPr>
          <w:p w:rsidR="00285793" w:rsidRDefault="00F634DF" w:rsidP="00DB681C">
            <w:pPr>
              <w:spacing w:after="0"/>
              <w:ind w:left="0" w:right="49" w:firstLine="0"/>
              <w:jc w:val="center"/>
            </w:pPr>
            <w:r>
              <w:rPr>
                <w:b/>
                <w:sz w:val="24"/>
              </w:rPr>
              <w:t>Характеристика по категориям</w:t>
            </w:r>
          </w:p>
        </w:tc>
      </w:tr>
      <w:tr w:rsidR="00DB681C">
        <w:trPr>
          <w:trHeight w:val="298"/>
        </w:trPr>
        <w:tc>
          <w:tcPr>
            <w:tcW w:w="9554" w:type="dxa"/>
            <w:gridSpan w:val="2"/>
            <w:tcBorders>
              <w:top w:val="single" w:sz="6" w:space="0" w:color="868686"/>
              <w:left w:val="single" w:sz="4" w:space="0" w:color="000000"/>
              <w:bottom w:val="single" w:sz="6" w:space="0" w:color="868686"/>
              <w:right w:val="single" w:sz="4" w:space="0" w:color="000000"/>
            </w:tcBorders>
          </w:tcPr>
          <w:p w:rsidR="00DB681C" w:rsidRPr="00D30B84" w:rsidRDefault="00DB681C" w:rsidP="00DB681C">
            <w:pPr>
              <w:spacing w:after="0"/>
              <w:ind w:left="0" w:right="49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 xml:space="preserve">Высшая -10 чел. (84%)  </w:t>
            </w:r>
          </w:p>
          <w:p w:rsidR="00DB681C" w:rsidRPr="00D30B84" w:rsidRDefault="00DB681C" w:rsidP="00DB681C">
            <w:pPr>
              <w:spacing w:after="0"/>
              <w:ind w:left="0" w:right="49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 xml:space="preserve">Первая - 2 чел. (16%) </w:t>
            </w:r>
          </w:p>
          <w:p w:rsidR="00DB681C" w:rsidRPr="00D30B84" w:rsidRDefault="00DB681C" w:rsidP="00DB681C">
            <w:pPr>
              <w:spacing w:after="0"/>
              <w:ind w:left="0" w:right="49" w:firstLine="0"/>
              <w:jc w:val="center"/>
              <w:rPr>
                <w:sz w:val="24"/>
              </w:rPr>
            </w:pPr>
            <w:r w:rsidRPr="00D30B84">
              <w:rPr>
                <w:sz w:val="24"/>
              </w:rPr>
              <w:t xml:space="preserve">Соответствие занимаемой должности- 0чел. (0%) </w:t>
            </w:r>
          </w:p>
          <w:p w:rsidR="00DB681C" w:rsidRDefault="00DB681C" w:rsidP="00DB681C">
            <w:pPr>
              <w:spacing w:after="0"/>
              <w:ind w:left="0" w:right="49" w:firstLine="0"/>
              <w:jc w:val="center"/>
              <w:rPr>
                <w:b/>
                <w:sz w:val="24"/>
              </w:rPr>
            </w:pPr>
            <w:r w:rsidRPr="00D30B84">
              <w:rPr>
                <w:sz w:val="24"/>
              </w:rPr>
              <w:t>Без категории- 0 чел.(0%)</w:t>
            </w:r>
          </w:p>
        </w:tc>
      </w:tr>
    </w:tbl>
    <w:p w:rsidR="00285793" w:rsidRDefault="00F634DF" w:rsidP="00A3665E">
      <w:pPr>
        <w:spacing w:after="0" w:line="240" w:lineRule="auto"/>
        <w:ind w:left="-5" w:right="143"/>
        <w:jc w:val="left"/>
      </w:pPr>
      <w:r>
        <w:t xml:space="preserve">Доля педагогических работников в </w:t>
      </w:r>
      <w:r w:rsidR="00D30B84">
        <w:t>возрасте до 35 лет составляет 16</w:t>
      </w:r>
      <w:r>
        <w:t>% от общей численнос</w:t>
      </w:r>
      <w:r w:rsidR="00D30B84">
        <w:t>ти педагогических работников. 5</w:t>
      </w:r>
      <w:r>
        <w:t>0% молодых педагогических работников в возрасте до 35 лет, включены в наставничество в первые три года работы, от общего числа молодых педа</w:t>
      </w:r>
      <w:r>
        <w:t xml:space="preserve">гогических работников.  </w:t>
      </w:r>
    </w:p>
    <w:p w:rsidR="00285793" w:rsidRDefault="00F634DF" w:rsidP="00A3665E">
      <w:pPr>
        <w:spacing w:after="0" w:line="240" w:lineRule="auto"/>
        <w:ind w:left="-5" w:right="143"/>
        <w:jc w:val="left"/>
      </w:pPr>
      <w:r>
        <w:t>Доля педагогических работников, аттестованных на первую/высшую квалификационную категорию составляет 48% от общего числа (без совместителей). В настоящее время детский сад укомплектован педагогическими кадрами полностью. В ДОО созд</w:t>
      </w:r>
      <w:r>
        <w:t xml:space="preserve">аны необходимые условия для профессионального роста сотрудников:  </w:t>
      </w:r>
    </w:p>
    <w:p w:rsidR="00285793" w:rsidRDefault="00F634DF" w:rsidP="00A3665E">
      <w:pPr>
        <w:numPr>
          <w:ilvl w:val="0"/>
          <w:numId w:val="2"/>
        </w:numPr>
        <w:spacing w:after="34" w:line="240" w:lineRule="auto"/>
        <w:ind w:right="143"/>
        <w:jc w:val="left"/>
      </w:pPr>
      <w:r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285793" w:rsidRDefault="00F634DF" w:rsidP="00A3665E">
      <w:pPr>
        <w:numPr>
          <w:ilvl w:val="0"/>
          <w:numId w:val="2"/>
        </w:numPr>
        <w:spacing w:after="0" w:line="240" w:lineRule="auto"/>
        <w:ind w:right="143"/>
        <w:jc w:val="left"/>
      </w:pPr>
      <w:r>
        <w:t>Ежегодно педагоги повышают уровень своего профессионального мастер</w:t>
      </w:r>
      <w:r>
        <w:t xml:space="preserve">ства посредством самообразования и повышения квалификации.  Разработан план участия педагогов в мероприятиях разного уровня, с целью обобщения и распространения педагогического опыта. </w:t>
      </w:r>
    </w:p>
    <w:p w:rsidR="00D30B84" w:rsidRDefault="00D30B84" w:rsidP="00A3665E">
      <w:pPr>
        <w:spacing w:after="0" w:line="240" w:lineRule="auto"/>
        <w:ind w:right="143" w:firstLine="0"/>
        <w:jc w:val="left"/>
      </w:pPr>
      <w:r>
        <w:t>Администрация ДОО считает важным направлением в своей деятельности постоянное повышение и совершенствование педагогического мастерства</w:t>
      </w:r>
    </w:p>
    <w:p w:rsidR="00D30B84" w:rsidRDefault="00D30B84" w:rsidP="00A3665E">
      <w:pPr>
        <w:spacing w:after="0" w:line="240" w:lineRule="auto"/>
        <w:ind w:right="143" w:firstLine="0"/>
        <w:jc w:val="left"/>
      </w:pPr>
      <w:r>
        <w:t>Для этого организуются курсы, семинары, открытые мероприятия на уровне города. Курсы повышения квалификации за последние три года прошли 100% педагогов. Всё это позволило переориентировать педагогический коллектив с учебно-дисциплинарной модели на личностно-ориентированную модель воспитания детей, основанную на уважении и доверии к ребёнку.</w:t>
      </w:r>
    </w:p>
    <w:p w:rsidR="00D30B84" w:rsidRPr="00A3665E" w:rsidRDefault="00A3665E" w:rsidP="00A3665E">
      <w:pPr>
        <w:spacing w:after="0" w:line="240" w:lineRule="auto"/>
        <w:ind w:right="143" w:firstLine="0"/>
        <w:jc w:val="left"/>
        <w:rPr>
          <w:b/>
        </w:rPr>
      </w:pPr>
      <w:r w:rsidRPr="00A3665E">
        <w:rPr>
          <w:b/>
        </w:rPr>
        <w:t>Выводы и предложения:</w:t>
      </w:r>
    </w:p>
    <w:p w:rsidR="00A3665E" w:rsidRDefault="00A3665E" w:rsidP="00A3665E">
      <w:pPr>
        <w:spacing w:after="0" w:line="240" w:lineRule="auto"/>
        <w:ind w:right="143" w:firstLine="0"/>
        <w:jc w:val="left"/>
      </w:pPr>
      <w:r>
        <w:t>Качественно-количественный анализ педагогического состава позволяет сделать выводы о том, что педагогический коллектив стабильный, работоспособный. Достаточный профессиональный уровень педагогов позволяет решать задачи воспитания и развития каждого ребёнка. Кадровая политика в ДОО направлена на развитие профессиональной компетентности педагогов, повышения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даёт хороший результат в организации педагогической деятельности и улучшения качества образования и воспитания дошкольников.</w:t>
      </w:r>
    </w:p>
    <w:p w:rsidR="00A3665E" w:rsidRDefault="00A3665E" w:rsidP="00A3665E">
      <w:pPr>
        <w:spacing w:after="0" w:line="240" w:lineRule="auto"/>
        <w:ind w:right="143" w:firstLine="0"/>
        <w:jc w:val="left"/>
        <w:rPr>
          <w:b/>
        </w:rPr>
      </w:pPr>
      <w:r w:rsidRPr="00A3665E">
        <w:rPr>
          <w:b/>
        </w:rPr>
        <w:t>В 2023-2024 году необходимо:</w:t>
      </w:r>
    </w:p>
    <w:p w:rsidR="00A3665E" w:rsidRDefault="00A3665E" w:rsidP="00A3665E">
      <w:pPr>
        <w:pStyle w:val="a5"/>
        <w:numPr>
          <w:ilvl w:val="0"/>
          <w:numId w:val="3"/>
        </w:numPr>
        <w:spacing w:after="0" w:line="240" w:lineRule="auto"/>
        <w:ind w:right="143"/>
        <w:jc w:val="left"/>
      </w:pPr>
      <w:r>
        <w:t>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</w:t>
      </w:r>
      <w:r w:rsidR="00F634DF">
        <w:t xml:space="preserve"> и повышения квалификации: в то числе ИКТ-технологии ( участие педагогов в онлайн-конференциях, вебинарах и т.д.)</w:t>
      </w:r>
    </w:p>
    <w:p w:rsidR="00F634DF" w:rsidRDefault="00F634DF" w:rsidP="00A3665E">
      <w:pPr>
        <w:pStyle w:val="a5"/>
        <w:numPr>
          <w:ilvl w:val="0"/>
          <w:numId w:val="3"/>
        </w:numPr>
        <w:spacing w:after="0" w:line="240" w:lineRule="auto"/>
        <w:ind w:right="143"/>
        <w:jc w:val="left"/>
      </w:pPr>
      <w:r>
        <w:t>Придерживаться 100% курсовой подготовки по плану.</w:t>
      </w:r>
    </w:p>
    <w:p w:rsidR="00F634DF" w:rsidRDefault="00F634DF" w:rsidP="00F634DF">
      <w:pPr>
        <w:spacing w:after="0" w:line="240" w:lineRule="auto"/>
        <w:ind w:right="143"/>
        <w:jc w:val="left"/>
      </w:pPr>
    </w:p>
    <w:p w:rsidR="00F634DF" w:rsidRDefault="00F634DF" w:rsidP="00F634DF">
      <w:pPr>
        <w:spacing w:after="0" w:line="240" w:lineRule="auto"/>
        <w:ind w:right="143"/>
        <w:jc w:val="left"/>
      </w:pPr>
      <w:r>
        <w:t>Руководитель экспертной группы_____________Е.А.Ковригина</w:t>
      </w:r>
    </w:p>
    <w:p w:rsidR="00F634DF" w:rsidRPr="00A3665E" w:rsidRDefault="00F634DF" w:rsidP="00F634DF">
      <w:pPr>
        <w:spacing w:after="0" w:line="240" w:lineRule="auto"/>
        <w:ind w:right="143"/>
        <w:jc w:val="left"/>
      </w:pPr>
      <w:r>
        <w:t>Эксперт___________________________________Л.И.Соболева</w:t>
      </w:r>
    </w:p>
    <w:p w:rsidR="00285793" w:rsidRDefault="00F634DF" w:rsidP="001E7773">
      <w:pPr>
        <w:spacing w:after="0"/>
        <w:ind w:left="-1700" w:right="1120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361315</wp:posOffset>
                </wp:positionV>
                <wp:extent cx="7315200" cy="10274935"/>
                <wp:effectExtent l="0" t="0" r="0" b="0"/>
                <wp:wrapTopAndBottom/>
                <wp:docPr id="4551" name="Group 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274935"/>
                          <a:chOff x="0" y="0"/>
                          <a:chExt cx="7315200" cy="10274935"/>
                        </a:xfrm>
                      </wpg:grpSpPr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10274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6" name="Rectangle 836"/>
                        <wps:cNvSpPr/>
                        <wps:spPr>
                          <a:xfrm>
                            <a:off x="1079297" y="46716"/>
                            <a:ext cx="7607867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93" w:rsidRDefault="00F634DF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Администрация ДОО считает важным направлением в своей 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6812026" y="64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93" w:rsidRDefault="00F634DF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1" style="width:576pt;height:809.05pt;position:absolute;mso-position-horizontal-relative:page;mso-position-horizontal:absolute;margin-left:0pt;mso-position-vertical-relative:page;margin-top:28.45pt;" coordsize="73152,102749">
                <v:shape id="Picture 835" style="position:absolute;width:73152;height:102749;left:0;top:0;" filled="f">
                  <v:imagedata r:id="rId11"/>
                </v:shape>
                <v:rect id="Rectangle 836" style="position:absolute;width:76078;height:2138;left:10792;top: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Администрация ДОО считает важным направлением в своей деятельности </w:t>
                        </w:r>
                      </w:p>
                    </w:txbxContent>
                  </v:textbox>
                </v:rect>
                <v:rect id="Rectangle 837" style="position:absolute;width:421;height:1899;left:68120;top: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285793">
      <w:pgSz w:w="11904" w:h="16838"/>
      <w:pgMar w:top="571" w:right="704" w:bottom="140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26C8"/>
    <w:multiLevelType w:val="hybridMultilevel"/>
    <w:tmpl w:val="F9165CD2"/>
    <w:lvl w:ilvl="0" w:tplc="79402F3E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2AEC54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00282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F0C5F2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CB370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185412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6387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ABD34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0E1E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243BA"/>
    <w:multiLevelType w:val="hybridMultilevel"/>
    <w:tmpl w:val="1202394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94E0084"/>
    <w:multiLevelType w:val="hybridMultilevel"/>
    <w:tmpl w:val="E918CCB4"/>
    <w:lvl w:ilvl="0" w:tplc="CB7A9DB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8AF42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4780E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9C2890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87F72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24D7C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40782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6D126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8F182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3"/>
    <w:rsid w:val="001E7773"/>
    <w:rsid w:val="00285793"/>
    <w:rsid w:val="00A3665E"/>
    <w:rsid w:val="00A91509"/>
    <w:rsid w:val="00D30B84"/>
    <w:rsid w:val="00DB681C"/>
    <w:rsid w:val="00F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6FD1"/>
  <w15:docId w15:val="{D68EEF38-FAEE-4B0C-9590-8EF00E9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1"/>
      <w:ind w:left="10" w:right="1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84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3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Любовь</cp:lastModifiedBy>
  <cp:revision>3</cp:revision>
  <cp:lastPrinted>2023-04-23T08:15:00Z</cp:lastPrinted>
  <dcterms:created xsi:type="dcterms:W3CDTF">2023-04-23T07:52:00Z</dcterms:created>
  <dcterms:modified xsi:type="dcterms:W3CDTF">2023-04-23T08:38:00Z</dcterms:modified>
</cp:coreProperties>
</file>